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87F4" w14:textId="50278B1D" w:rsidR="00761E5F" w:rsidRPr="00A50D34" w:rsidRDefault="00761E5F" w:rsidP="00761E5F">
      <w:pPr>
        <w:rPr>
          <w:rFonts w:ascii="Calibri" w:eastAsia="Times New Roman" w:hAnsi="Calibri" w:cs="Calibri"/>
          <w:color w:val="000000"/>
        </w:rPr>
      </w:pPr>
      <w:r w:rsidRPr="00A50D34">
        <w:rPr>
          <w:rFonts w:ascii="Calibri" w:eastAsia="Times New Roman" w:hAnsi="Calibri" w:cs="Calibri"/>
          <w:b/>
          <w:bCs/>
          <w:color w:val="000000"/>
          <w:sz w:val="22"/>
          <w:szCs w:val="22"/>
        </w:rPr>
        <w:t>Compliance Director (</w:t>
      </w:r>
      <w:r w:rsidR="002F03FC">
        <w:rPr>
          <w:rFonts w:ascii="Calibri" w:eastAsia="Times New Roman" w:hAnsi="Calibri" w:cs="Calibri"/>
          <w:b/>
          <w:bCs/>
          <w:color w:val="000000"/>
          <w:sz w:val="22"/>
          <w:szCs w:val="22"/>
        </w:rPr>
        <w:t>New York, NY</w:t>
      </w:r>
      <w:r w:rsidRPr="00A50D34">
        <w:rPr>
          <w:rFonts w:ascii="Calibri" w:eastAsia="Times New Roman" w:hAnsi="Calibri" w:cs="Calibri"/>
          <w:b/>
          <w:bCs/>
          <w:color w:val="000000"/>
          <w:sz w:val="22"/>
          <w:szCs w:val="22"/>
        </w:rPr>
        <w:t>): </w:t>
      </w:r>
      <w:r w:rsidRPr="00A50D34">
        <w:rPr>
          <w:rFonts w:ascii="Calibri" w:eastAsia="Times New Roman" w:hAnsi="Calibri" w:cs="Calibri"/>
          <w:color w:val="000000"/>
          <w:sz w:val="22"/>
          <w:szCs w:val="22"/>
        </w:rPr>
        <w:t>Our client, a successful investment management business</w:t>
      </w:r>
      <w:r w:rsidRPr="00A50D34">
        <w:rPr>
          <w:rFonts w:ascii="Calibri" w:eastAsia="Times New Roman" w:hAnsi="Calibri" w:cs="Calibri"/>
          <w:b/>
          <w:bCs/>
          <w:color w:val="000000"/>
          <w:sz w:val="22"/>
          <w:szCs w:val="22"/>
        </w:rPr>
        <w:t> </w:t>
      </w:r>
      <w:r w:rsidRPr="00A50D34">
        <w:rPr>
          <w:rFonts w:ascii="Calibri" w:eastAsia="Times New Roman" w:hAnsi="Calibri" w:cs="Calibri"/>
          <w:color w:val="000000"/>
          <w:sz w:val="22"/>
          <w:szCs w:val="22"/>
        </w:rPr>
        <w:t>with over $2B in assets, has created a new role for an individual to assist with the design, maintenance, and implementation of a compliance program.  This is an ideal position for an individual with a strong background in regulatory compliance to join a lean team in a highly visible role within a flat organization. </w:t>
      </w:r>
    </w:p>
    <w:p w14:paraId="5742D593" w14:textId="77777777" w:rsidR="002F03FC" w:rsidRDefault="002F03FC" w:rsidP="00761E5F">
      <w:pPr>
        <w:rPr>
          <w:rFonts w:ascii="Calibri" w:eastAsia="Times New Roman" w:hAnsi="Calibri" w:cs="Calibri"/>
          <w:b/>
          <w:bCs/>
          <w:color w:val="000000"/>
          <w:sz w:val="22"/>
          <w:szCs w:val="22"/>
        </w:rPr>
      </w:pPr>
    </w:p>
    <w:p w14:paraId="64608609" w14:textId="1810CADA" w:rsidR="00761E5F" w:rsidRPr="00A50D34" w:rsidRDefault="00761E5F" w:rsidP="00761E5F">
      <w:pPr>
        <w:rPr>
          <w:rFonts w:ascii="Calibri" w:eastAsia="Times New Roman" w:hAnsi="Calibri" w:cs="Calibri"/>
          <w:color w:val="000000"/>
        </w:rPr>
      </w:pPr>
      <w:r w:rsidRPr="00A50D34">
        <w:rPr>
          <w:rFonts w:ascii="Calibri" w:eastAsia="Times New Roman" w:hAnsi="Calibri" w:cs="Calibri"/>
          <w:b/>
          <w:bCs/>
          <w:color w:val="000000"/>
          <w:sz w:val="22"/>
          <w:szCs w:val="22"/>
        </w:rPr>
        <w:t>Key Points: </w:t>
      </w:r>
    </w:p>
    <w:p w14:paraId="660304C6"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Newly created role offering this individual an opportunity to have a strong impact on the organization’s compliance program </w:t>
      </w:r>
    </w:p>
    <w:p w14:paraId="1CDB0349"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Firm boasts an impressive track record and has an excellent GC/CCO who will serve as a tremendous mentor </w:t>
      </w:r>
    </w:p>
    <w:p w14:paraId="1012A1AB" w14:textId="77777777" w:rsidR="00761E5F" w:rsidRPr="00A50D34" w:rsidRDefault="00761E5F" w:rsidP="00761E5F">
      <w:pPr>
        <w:jc w:val="both"/>
        <w:rPr>
          <w:rFonts w:ascii="Calibri" w:eastAsia="Times New Roman" w:hAnsi="Calibri" w:cs="Calibri"/>
          <w:color w:val="000000"/>
        </w:rPr>
      </w:pPr>
      <w:r w:rsidRPr="00A50D34">
        <w:rPr>
          <w:rFonts w:ascii="Calibri" w:eastAsia="Times New Roman" w:hAnsi="Calibri" w:cs="Calibri"/>
          <w:b/>
          <w:bCs/>
          <w:color w:val="000000"/>
          <w:sz w:val="22"/>
          <w:szCs w:val="22"/>
        </w:rPr>
        <w:t>Responsibilities:</w:t>
      </w:r>
    </w:p>
    <w:p w14:paraId="35D0CE33"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Support management in achieving business objectives while managing regulatory, compliance, legal and reputational risk</w:t>
      </w:r>
    </w:p>
    <w:p w14:paraId="26835365"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 xml:space="preserve">Manage (and assist in the development of) robust risk identification and compliance testing programs, </w:t>
      </w:r>
      <w:proofErr w:type="gramStart"/>
      <w:r w:rsidRPr="00A50D34">
        <w:rPr>
          <w:rFonts w:ascii="Calibri" w:eastAsia="Times New Roman" w:hAnsi="Calibri" w:cs="Calibri"/>
          <w:color w:val="000000"/>
          <w:sz w:val="22"/>
          <w:szCs w:val="22"/>
        </w:rPr>
        <w:t>including:</w:t>
      </w:r>
      <w:proofErr w:type="gramEnd"/>
      <w:r w:rsidRPr="00A50D34">
        <w:rPr>
          <w:rFonts w:ascii="Calibri" w:eastAsia="Times New Roman" w:hAnsi="Calibri" w:cs="Calibri"/>
          <w:color w:val="000000"/>
          <w:sz w:val="22"/>
          <w:szCs w:val="22"/>
        </w:rPr>
        <w:t xml:space="preserve"> risk matrixing, compliance testing, investigating causes of unusual trends or activities, email surveillance, and implementing systems for tracking regulatory filings </w:t>
      </w:r>
    </w:p>
    <w:p w14:paraId="17230D81"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Prepare regulatory filings; provide compliance monitoring and testing related to Rule 206(4)-7</w:t>
      </w:r>
    </w:p>
    <w:p w14:paraId="36C9D01A"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Provide situational and ongoing advice to the Executive Committee on compliance with laws and regulations, monitor business line performance with compliance, and alert the CCO and the Executive Committee to actual or potential compliance gaps and issues</w:t>
      </w:r>
    </w:p>
    <w:p w14:paraId="77413ECC" w14:textId="77777777" w:rsidR="00761E5F" w:rsidRPr="00A50D34" w:rsidRDefault="00761E5F" w:rsidP="00761E5F">
      <w:pPr>
        <w:rPr>
          <w:rFonts w:ascii="Calibri" w:eastAsia="Times New Roman" w:hAnsi="Calibri" w:cs="Calibri"/>
          <w:color w:val="000000"/>
        </w:rPr>
      </w:pPr>
      <w:r w:rsidRPr="00A50D34">
        <w:rPr>
          <w:rFonts w:ascii="Calibri" w:eastAsia="Times New Roman" w:hAnsi="Calibri" w:cs="Calibri"/>
          <w:b/>
          <w:bCs/>
          <w:color w:val="000000"/>
          <w:sz w:val="22"/>
          <w:szCs w:val="22"/>
        </w:rPr>
        <w:t>Qualifications:</w:t>
      </w:r>
    </w:p>
    <w:p w14:paraId="1D1311A5"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 xml:space="preserve">5+ years of investment adviser regulatory compliance experience, with the ability to read, interpret, </w:t>
      </w:r>
      <w:proofErr w:type="gramStart"/>
      <w:r w:rsidRPr="00A50D34">
        <w:rPr>
          <w:rFonts w:ascii="Calibri" w:eastAsia="Times New Roman" w:hAnsi="Calibri" w:cs="Calibri"/>
          <w:color w:val="000000"/>
          <w:sz w:val="22"/>
          <w:szCs w:val="22"/>
        </w:rPr>
        <w:t>comprehend</w:t>
      </w:r>
      <w:proofErr w:type="gramEnd"/>
      <w:r w:rsidRPr="00A50D34">
        <w:rPr>
          <w:rFonts w:ascii="Calibri" w:eastAsia="Times New Roman" w:hAnsi="Calibri" w:cs="Calibri"/>
          <w:color w:val="000000"/>
          <w:sz w:val="22"/>
          <w:szCs w:val="22"/>
        </w:rPr>
        <w:t xml:space="preserve"> and explain complex subjects including applicable regulations</w:t>
      </w:r>
    </w:p>
    <w:p w14:paraId="7F98B264"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Experience with private investment funds; knowledge of investment strategies and operations, and direct experience with investment advisor operations</w:t>
      </w:r>
    </w:p>
    <w:p w14:paraId="2000A329"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proofErr w:type="gramStart"/>
      <w:r w:rsidRPr="00A50D34">
        <w:rPr>
          <w:rFonts w:ascii="Calibri" w:eastAsia="Times New Roman" w:hAnsi="Calibri" w:cs="Calibri"/>
          <w:color w:val="000000"/>
          <w:sz w:val="22"/>
          <w:szCs w:val="22"/>
        </w:rPr>
        <w:t>Bachelor</w:t>
      </w:r>
      <w:proofErr w:type="gramEnd"/>
      <w:r w:rsidRPr="00A50D34">
        <w:rPr>
          <w:rFonts w:ascii="Calibri" w:eastAsia="Times New Roman" w:hAnsi="Calibri" w:cs="Calibri"/>
          <w:color w:val="000000"/>
          <w:sz w:val="22"/>
          <w:szCs w:val="22"/>
        </w:rPr>
        <w:t xml:space="preserve"> degree (or its foreign equivalent) required</w:t>
      </w:r>
    </w:p>
    <w:p w14:paraId="5380270C" w14:textId="77777777" w:rsidR="00761E5F" w:rsidRPr="00A50D34" w:rsidRDefault="00761E5F" w:rsidP="00761E5F">
      <w:pPr>
        <w:ind w:left="630" w:hanging="360"/>
        <w:jc w:val="both"/>
        <w:rPr>
          <w:rFonts w:ascii="Calibri" w:eastAsia="Times New Roman" w:hAnsi="Calibri" w:cs="Calibri"/>
          <w:color w:val="000000"/>
        </w:rPr>
      </w:pPr>
      <w:r w:rsidRPr="00A50D34">
        <w:rPr>
          <w:rFonts w:ascii="Times New Roman" w:eastAsia="Times New Roman" w:hAnsi="Times New Roman" w:cs="Times New Roman"/>
          <w:color w:val="303030"/>
          <w:sz w:val="20"/>
          <w:szCs w:val="20"/>
        </w:rPr>
        <w:t>·</w:t>
      </w:r>
      <w:r w:rsidRPr="00A50D34">
        <w:rPr>
          <w:rFonts w:ascii="Times New Roman" w:eastAsia="Times New Roman" w:hAnsi="Times New Roman" w:cs="Times New Roman"/>
          <w:color w:val="303030"/>
          <w:sz w:val="14"/>
          <w:szCs w:val="14"/>
        </w:rPr>
        <w:t>         </w:t>
      </w:r>
      <w:r w:rsidRPr="00A50D34">
        <w:rPr>
          <w:rFonts w:ascii="Calibri" w:eastAsia="Times New Roman" w:hAnsi="Calibri" w:cs="Calibri"/>
          <w:color w:val="000000"/>
          <w:sz w:val="22"/>
          <w:szCs w:val="22"/>
        </w:rPr>
        <w:t>Strong analytical and problem-solving skills; demonstrated project management skills</w:t>
      </w:r>
    </w:p>
    <w:p w14:paraId="5B858917" w14:textId="77777777" w:rsidR="00700B9A" w:rsidRDefault="002F03FC"/>
    <w:sectPr w:rsidR="00700B9A"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5F"/>
    <w:rsid w:val="002F03FC"/>
    <w:rsid w:val="005B5616"/>
    <w:rsid w:val="00761E5F"/>
    <w:rsid w:val="00AD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995C9"/>
  <w15:chartTrackingRefBased/>
  <w15:docId w15:val="{CA0A1C26-0A56-7849-8B06-6BD0E31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1708</Characters>
  <Application>Microsoft Office Word</Application>
  <DocSecurity>0</DocSecurity>
  <Lines>29</Lines>
  <Paragraphs>18</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2</cp:revision>
  <dcterms:created xsi:type="dcterms:W3CDTF">2022-02-14T19:58:00Z</dcterms:created>
  <dcterms:modified xsi:type="dcterms:W3CDTF">2022-02-14T19:59:00Z</dcterms:modified>
</cp:coreProperties>
</file>